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A85" w:rsidRDefault="00696A85" w:rsidP="00696A85">
      <w:pPr>
        <w:spacing w:after="180" w:line="288" w:lineRule="atLeast"/>
        <w:jc w:val="center"/>
        <w:textAlignment w:val="baseline"/>
        <w:outlineLvl w:val="0"/>
        <w:rPr>
          <w:rFonts w:ascii="Georgia" w:eastAsia="Times New Roman" w:hAnsi="Georgia" w:cs="Times New Roman"/>
          <w:color w:val="2376A1"/>
          <w:kern w:val="36"/>
          <w:sz w:val="38"/>
          <w:szCs w:val="38"/>
        </w:rPr>
      </w:pPr>
      <w:r w:rsidRPr="00696A85">
        <w:rPr>
          <w:rFonts w:ascii="Georgia" w:eastAsia="Times New Roman" w:hAnsi="Georgia" w:cs="Times New Roman"/>
          <w:color w:val="2376A1"/>
          <w:kern w:val="36"/>
          <w:sz w:val="38"/>
          <w:szCs w:val="38"/>
        </w:rPr>
        <w:t>HIPAA Resources for Researchers</w:t>
      </w:r>
    </w:p>
    <w:p w:rsidR="00696A85" w:rsidRPr="00696A85" w:rsidRDefault="00696A85" w:rsidP="00696A85">
      <w:pPr>
        <w:pBdr>
          <w:top w:val="single" w:sz="6" w:space="4" w:color="9BBDDE"/>
        </w:pBdr>
        <w:shd w:val="clear" w:color="auto" w:fill="56A0D3"/>
        <w:spacing w:before="210" w:after="120" w:line="336" w:lineRule="atLeast"/>
        <w:textAlignment w:val="baseline"/>
        <w:outlineLvl w:val="1"/>
        <w:rPr>
          <w:rFonts w:ascii="inherit" w:eastAsia="Times New Roman" w:hAnsi="inherit" w:cs="Times New Roman"/>
          <w:b/>
          <w:bCs/>
          <w:caps/>
          <w:color w:val="FFFFFF"/>
          <w:sz w:val="17"/>
          <w:szCs w:val="17"/>
        </w:rPr>
      </w:pPr>
      <w:bookmarkStart w:id="0" w:name="_GoBack"/>
      <w:bookmarkEnd w:id="0"/>
      <w:r w:rsidRPr="00696A85">
        <w:rPr>
          <w:rFonts w:ascii="inherit" w:eastAsia="Times New Roman" w:hAnsi="inherit" w:cs="Times New Roman"/>
          <w:b/>
          <w:bCs/>
          <w:caps/>
          <w:color w:val="FFFFFF"/>
          <w:sz w:val="17"/>
          <w:szCs w:val="17"/>
        </w:rPr>
        <w:t>HIPAA AND RESEARCH AT UNC-CHAPEL HILL</w:t>
      </w:r>
    </w:p>
    <w:p w:rsidR="00696A85" w:rsidRPr="00696A85" w:rsidRDefault="00696A85" w:rsidP="00696A85">
      <w:pPr>
        <w:shd w:val="clear" w:color="auto" w:fill="FFFFFF"/>
        <w:spacing w:after="360" w:line="360" w:lineRule="atLeast"/>
        <w:textAlignment w:val="baseline"/>
        <w:rPr>
          <w:rFonts w:ascii="inherit" w:eastAsia="Times New Roman" w:hAnsi="inherit" w:cs="Times New Roman"/>
          <w:color w:val="404040"/>
          <w:sz w:val="20"/>
          <w:szCs w:val="20"/>
        </w:rPr>
      </w:pPr>
      <w:r w:rsidRPr="00696A85">
        <w:rPr>
          <w:rFonts w:ascii="inherit" w:eastAsia="Times New Roman" w:hAnsi="inherit" w:cs="Times New Roman"/>
          <w:color w:val="404040"/>
          <w:sz w:val="20"/>
          <w:szCs w:val="20"/>
        </w:rPr>
        <w:t>HIPAA (Health Insurance Portability and Accountability Act) is a federal law aimed at protecting health information by establishing standards for the use and disclosure of individually identifiable health information (known as Protected Health Information or PHI) that is created or received by a health care entity. HIPAA took effect in April, 2003 with new procedures for collecting and sharing patient information used in research.</w:t>
      </w:r>
    </w:p>
    <w:p w:rsidR="00696A85" w:rsidRPr="00696A85" w:rsidRDefault="00696A85" w:rsidP="00696A85">
      <w:pPr>
        <w:shd w:val="clear" w:color="auto" w:fill="FFFFFF"/>
        <w:spacing w:before="240" w:after="120" w:line="240" w:lineRule="auto"/>
        <w:textAlignment w:val="baseline"/>
        <w:outlineLvl w:val="2"/>
        <w:rPr>
          <w:rFonts w:ascii="inherit" w:eastAsia="Times New Roman" w:hAnsi="inherit" w:cs="Times New Roman"/>
          <w:b/>
          <w:bCs/>
          <w:color w:val="56A0D3"/>
          <w:sz w:val="20"/>
          <w:szCs w:val="20"/>
        </w:rPr>
      </w:pPr>
      <w:r w:rsidRPr="00696A85">
        <w:rPr>
          <w:rFonts w:ascii="inherit" w:eastAsia="Times New Roman" w:hAnsi="inherit" w:cs="Times New Roman"/>
          <w:b/>
          <w:bCs/>
          <w:color w:val="56A0D3"/>
          <w:sz w:val="20"/>
          <w:szCs w:val="20"/>
        </w:rPr>
        <w:t>Privacy Review</w:t>
      </w:r>
    </w:p>
    <w:p w:rsidR="00696A85" w:rsidRPr="00696A85" w:rsidRDefault="00696A85" w:rsidP="00696A85">
      <w:pPr>
        <w:shd w:val="clear" w:color="auto" w:fill="FFFFFF"/>
        <w:spacing w:after="360" w:line="360" w:lineRule="atLeast"/>
        <w:textAlignment w:val="baseline"/>
        <w:rPr>
          <w:rFonts w:ascii="inherit" w:eastAsia="Times New Roman" w:hAnsi="inherit" w:cs="Times New Roman"/>
          <w:color w:val="404040"/>
          <w:sz w:val="20"/>
          <w:szCs w:val="20"/>
        </w:rPr>
      </w:pPr>
      <w:r w:rsidRPr="00696A85">
        <w:rPr>
          <w:rFonts w:ascii="inherit" w:eastAsia="Times New Roman" w:hAnsi="inherit" w:cs="Times New Roman"/>
          <w:color w:val="404040"/>
          <w:sz w:val="20"/>
          <w:szCs w:val="20"/>
        </w:rPr>
        <w:t>Under HIPAA, unless one of the exceptions discussed below applies, investigators who wish to use PHI for research purposes must obtain a signed authorization from each individual. Institutions are required to establish a “Privacy Board” to review and approve requests for waivers of authorization for use and disclosure of PHI for research purposes. At UNC, the IRB serves as the Privacy Board. Thus, researchers are not obliged to apply to two separate committees.</w:t>
      </w:r>
    </w:p>
    <w:p w:rsidR="00696A85" w:rsidRPr="00696A85" w:rsidRDefault="00696A85" w:rsidP="00696A85">
      <w:pPr>
        <w:shd w:val="clear" w:color="auto" w:fill="FFFFFF"/>
        <w:spacing w:before="240" w:after="120" w:line="240" w:lineRule="auto"/>
        <w:textAlignment w:val="baseline"/>
        <w:outlineLvl w:val="2"/>
        <w:rPr>
          <w:rFonts w:ascii="inherit" w:eastAsia="Times New Roman" w:hAnsi="inherit" w:cs="Times New Roman"/>
          <w:b/>
          <w:bCs/>
          <w:color w:val="56A0D3"/>
          <w:sz w:val="20"/>
          <w:szCs w:val="20"/>
        </w:rPr>
      </w:pPr>
      <w:r w:rsidRPr="00696A85">
        <w:rPr>
          <w:rFonts w:ascii="inherit" w:eastAsia="Times New Roman" w:hAnsi="inherit" w:cs="Times New Roman"/>
          <w:b/>
          <w:bCs/>
          <w:color w:val="56A0D3"/>
          <w:sz w:val="20"/>
          <w:szCs w:val="20"/>
        </w:rPr>
        <w:t>Mandated Training</w:t>
      </w:r>
    </w:p>
    <w:p w:rsidR="00696A85" w:rsidRPr="00696A85" w:rsidRDefault="00696A85" w:rsidP="00696A85">
      <w:pPr>
        <w:shd w:val="clear" w:color="auto" w:fill="FFFFFF"/>
        <w:spacing w:after="360" w:line="360" w:lineRule="atLeast"/>
        <w:textAlignment w:val="baseline"/>
        <w:rPr>
          <w:rFonts w:ascii="inherit" w:eastAsia="Times New Roman" w:hAnsi="inherit" w:cs="Times New Roman"/>
          <w:color w:val="404040"/>
          <w:sz w:val="20"/>
          <w:szCs w:val="20"/>
        </w:rPr>
      </w:pPr>
      <w:r w:rsidRPr="00696A85">
        <w:rPr>
          <w:rFonts w:ascii="inherit" w:eastAsia="Times New Roman" w:hAnsi="inherit" w:cs="Times New Roman"/>
          <w:color w:val="404040"/>
          <w:sz w:val="20"/>
          <w:szCs w:val="20"/>
        </w:rPr>
        <w:t>According to the Federal Regulations, all institutions governed by HIPAA must train their employees regarding PHI. The University provides online training for new employees and annual training updates for existing employees.</w:t>
      </w:r>
    </w:p>
    <w:p w:rsidR="00696A85" w:rsidRPr="00696A85" w:rsidRDefault="00696A85" w:rsidP="00696A85">
      <w:pPr>
        <w:shd w:val="clear" w:color="auto" w:fill="FFFFFF"/>
        <w:spacing w:after="360" w:line="360" w:lineRule="atLeast"/>
        <w:textAlignment w:val="baseline"/>
        <w:rPr>
          <w:rFonts w:ascii="inherit" w:eastAsia="Times New Roman" w:hAnsi="inherit" w:cs="Times New Roman"/>
          <w:color w:val="404040"/>
          <w:sz w:val="20"/>
          <w:szCs w:val="20"/>
        </w:rPr>
      </w:pPr>
      <w:r w:rsidRPr="00696A85">
        <w:rPr>
          <w:rFonts w:ascii="inherit" w:eastAsia="Times New Roman" w:hAnsi="inherit" w:cs="Times New Roman"/>
          <w:color w:val="404040"/>
          <w:sz w:val="20"/>
          <w:szCs w:val="20"/>
        </w:rPr>
        <w:t>In addition, University employees involved in human subject research must complete IRB-approved ethics training through the Collaborative Institutional Training Initiative (CITI). CITI is a web-based training package on issues relating to human subjects research. The last module “Research and HIPAA Privacy Protections” is in addition to, and does not replace, any HIPAA training required by UNC Health Care and other covered units at UNC-Chapel Hill.</w:t>
      </w:r>
    </w:p>
    <w:p w:rsidR="00696A85" w:rsidRPr="00696A85" w:rsidRDefault="00696A85" w:rsidP="00696A85">
      <w:pPr>
        <w:shd w:val="clear" w:color="auto" w:fill="FFFFFF"/>
        <w:spacing w:after="0" w:line="360" w:lineRule="atLeast"/>
        <w:textAlignment w:val="baseline"/>
        <w:rPr>
          <w:rFonts w:ascii="inherit" w:eastAsia="Times New Roman" w:hAnsi="inherit" w:cs="Times New Roman"/>
          <w:color w:val="404040"/>
          <w:sz w:val="20"/>
          <w:szCs w:val="20"/>
        </w:rPr>
      </w:pPr>
      <w:hyperlink r:id="rId5" w:history="1">
        <w:r w:rsidRPr="00696A85">
          <w:rPr>
            <w:rFonts w:ascii="inherit" w:eastAsia="Times New Roman" w:hAnsi="inherit" w:cs="Times New Roman"/>
            <w:color w:val="2376A1"/>
            <w:sz w:val="20"/>
            <w:szCs w:val="20"/>
            <w:u w:val="single"/>
            <w:bdr w:val="none" w:sz="0" w:space="0" w:color="auto" w:frame="1"/>
          </w:rPr>
          <w:t>Office of Human Research Ethics IRB Training</w:t>
        </w:r>
      </w:hyperlink>
    </w:p>
    <w:p w:rsidR="00696A85" w:rsidRPr="00696A85" w:rsidRDefault="00696A85" w:rsidP="00696A85">
      <w:pPr>
        <w:shd w:val="clear" w:color="auto" w:fill="FFFFFF"/>
        <w:spacing w:before="240" w:after="120" w:line="240" w:lineRule="auto"/>
        <w:textAlignment w:val="baseline"/>
        <w:outlineLvl w:val="2"/>
        <w:rPr>
          <w:rFonts w:ascii="inherit" w:eastAsia="Times New Roman" w:hAnsi="inherit" w:cs="Times New Roman"/>
          <w:b/>
          <w:bCs/>
          <w:color w:val="56A0D3"/>
          <w:sz w:val="20"/>
          <w:szCs w:val="20"/>
        </w:rPr>
      </w:pPr>
      <w:r w:rsidRPr="00696A85">
        <w:rPr>
          <w:rFonts w:ascii="inherit" w:eastAsia="Times New Roman" w:hAnsi="inherit" w:cs="Times New Roman"/>
          <w:b/>
          <w:bCs/>
          <w:color w:val="56A0D3"/>
          <w:sz w:val="20"/>
          <w:szCs w:val="20"/>
        </w:rPr>
        <w:t>Research Proposal Requirements</w:t>
      </w:r>
    </w:p>
    <w:p w:rsidR="00696A85" w:rsidRPr="00696A85" w:rsidRDefault="00696A85" w:rsidP="00696A85">
      <w:pPr>
        <w:numPr>
          <w:ilvl w:val="0"/>
          <w:numId w:val="1"/>
        </w:numPr>
        <w:shd w:val="clear" w:color="auto" w:fill="FFFFFF"/>
        <w:spacing w:before="120" w:after="0" w:line="240" w:lineRule="auto"/>
        <w:ind w:left="150" w:right="150"/>
        <w:textAlignment w:val="baseline"/>
        <w:rPr>
          <w:rFonts w:ascii="inherit" w:eastAsia="Times New Roman" w:hAnsi="inherit" w:cs="Times New Roman"/>
          <w:color w:val="404040"/>
          <w:sz w:val="20"/>
          <w:szCs w:val="20"/>
        </w:rPr>
      </w:pPr>
      <w:r w:rsidRPr="00696A85">
        <w:rPr>
          <w:rFonts w:ascii="inherit" w:eastAsia="Times New Roman" w:hAnsi="inherit" w:cs="Times New Roman"/>
          <w:color w:val="404040"/>
          <w:sz w:val="20"/>
          <w:szCs w:val="20"/>
        </w:rPr>
        <w:t>Requirements for new research proposals: </w:t>
      </w:r>
      <w:r w:rsidRPr="00696A85">
        <w:rPr>
          <w:rFonts w:ascii="inherit" w:eastAsia="Times New Roman" w:hAnsi="inherit" w:cs="Times New Roman"/>
          <w:color w:val="404040"/>
          <w:sz w:val="20"/>
          <w:szCs w:val="20"/>
        </w:rPr>
        <w:br/>
        <w:t>Researchers should prepare and submit their research protocols for IRB review and submit their HIPAA-related documents to the IRB at the same time. Researchers whose new protocols involve PHI should either:</w:t>
      </w:r>
    </w:p>
    <w:p w:rsidR="00696A85" w:rsidRPr="00696A85" w:rsidRDefault="00696A85" w:rsidP="00696A85">
      <w:pPr>
        <w:numPr>
          <w:ilvl w:val="1"/>
          <w:numId w:val="1"/>
        </w:numPr>
        <w:shd w:val="clear" w:color="auto" w:fill="FFFFFF"/>
        <w:spacing w:before="120" w:after="0" w:line="240" w:lineRule="auto"/>
        <w:ind w:left="585" w:right="225"/>
        <w:textAlignment w:val="baseline"/>
        <w:rPr>
          <w:rFonts w:ascii="inherit" w:eastAsia="Times New Roman" w:hAnsi="inherit" w:cs="Times New Roman"/>
          <w:color w:val="404040"/>
          <w:sz w:val="20"/>
          <w:szCs w:val="20"/>
        </w:rPr>
      </w:pPr>
      <w:r w:rsidRPr="00696A85">
        <w:rPr>
          <w:rFonts w:ascii="inherit" w:eastAsia="Times New Roman" w:hAnsi="inherit" w:cs="Times New Roman"/>
          <w:color w:val="404040"/>
          <w:sz w:val="20"/>
          <w:szCs w:val="20"/>
        </w:rPr>
        <w:t>collect written authorization from patients for the release of their PHI; or</w:t>
      </w:r>
    </w:p>
    <w:p w:rsidR="00696A85" w:rsidRPr="00696A85" w:rsidRDefault="00696A85" w:rsidP="00696A85">
      <w:pPr>
        <w:numPr>
          <w:ilvl w:val="1"/>
          <w:numId w:val="1"/>
        </w:numPr>
        <w:shd w:val="clear" w:color="auto" w:fill="FFFFFF"/>
        <w:spacing w:before="120" w:after="0" w:line="240" w:lineRule="auto"/>
        <w:ind w:left="585" w:right="225"/>
        <w:textAlignment w:val="baseline"/>
        <w:rPr>
          <w:rFonts w:ascii="inherit" w:eastAsia="Times New Roman" w:hAnsi="inherit" w:cs="Times New Roman"/>
          <w:color w:val="404040"/>
          <w:sz w:val="20"/>
          <w:szCs w:val="20"/>
        </w:rPr>
      </w:pPr>
      <w:r w:rsidRPr="00696A85">
        <w:rPr>
          <w:rFonts w:ascii="inherit" w:eastAsia="Times New Roman" w:hAnsi="inherit" w:cs="Times New Roman"/>
          <w:color w:val="404040"/>
          <w:sz w:val="20"/>
          <w:szCs w:val="20"/>
        </w:rPr>
        <w:t>ask the IRB for a waiver from the authorization (under defined circumstances, the most important of which is that the research could not be done without the waiver); or</w:t>
      </w:r>
    </w:p>
    <w:p w:rsidR="00696A85" w:rsidRPr="00696A85" w:rsidRDefault="00696A85" w:rsidP="00696A85">
      <w:pPr>
        <w:numPr>
          <w:ilvl w:val="1"/>
          <w:numId w:val="1"/>
        </w:numPr>
        <w:shd w:val="clear" w:color="auto" w:fill="FFFFFF"/>
        <w:spacing w:before="120" w:after="0" w:line="240" w:lineRule="auto"/>
        <w:ind w:left="585" w:right="225"/>
        <w:textAlignment w:val="baseline"/>
        <w:rPr>
          <w:rFonts w:ascii="inherit" w:eastAsia="Times New Roman" w:hAnsi="inherit" w:cs="Times New Roman"/>
          <w:color w:val="404040"/>
          <w:sz w:val="20"/>
          <w:szCs w:val="20"/>
        </w:rPr>
      </w:pPr>
      <w:proofErr w:type="spellStart"/>
      <w:proofErr w:type="gramStart"/>
      <w:r w:rsidRPr="00696A85">
        <w:rPr>
          <w:rFonts w:ascii="inherit" w:eastAsia="Times New Roman" w:hAnsi="inherit" w:cs="Times New Roman"/>
          <w:color w:val="404040"/>
          <w:sz w:val="20"/>
          <w:szCs w:val="20"/>
        </w:rPr>
        <w:t>deidentify</w:t>
      </w:r>
      <w:proofErr w:type="spellEnd"/>
      <w:proofErr w:type="gramEnd"/>
      <w:r w:rsidRPr="00696A85">
        <w:rPr>
          <w:rFonts w:ascii="inherit" w:eastAsia="Times New Roman" w:hAnsi="inherit" w:cs="Times New Roman"/>
          <w:color w:val="404040"/>
          <w:sz w:val="20"/>
          <w:szCs w:val="20"/>
        </w:rPr>
        <w:t xml:space="preserve"> the data. PHI that has been </w:t>
      </w:r>
      <w:proofErr w:type="spellStart"/>
      <w:r w:rsidRPr="00696A85">
        <w:rPr>
          <w:rFonts w:ascii="inherit" w:eastAsia="Times New Roman" w:hAnsi="inherit" w:cs="Times New Roman"/>
          <w:color w:val="404040"/>
          <w:sz w:val="20"/>
          <w:szCs w:val="20"/>
        </w:rPr>
        <w:t>deidentified</w:t>
      </w:r>
      <w:proofErr w:type="spellEnd"/>
      <w:r w:rsidRPr="00696A85">
        <w:rPr>
          <w:rFonts w:ascii="inherit" w:eastAsia="Times New Roman" w:hAnsi="inherit" w:cs="Times New Roman"/>
          <w:color w:val="404040"/>
          <w:sz w:val="20"/>
          <w:szCs w:val="20"/>
        </w:rPr>
        <w:t xml:space="preserve"> (stripped of a long list of identifiers) is not governed by HIPAA regulations.</w:t>
      </w:r>
    </w:p>
    <w:p w:rsidR="00696A85" w:rsidRPr="00696A85" w:rsidRDefault="00696A85" w:rsidP="00696A85">
      <w:pPr>
        <w:numPr>
          <w:ilvl w:val="0"/>
          <w:numId w:val="2"/>
        </w:numPr>
        <w:shd w:val="clear" w:color="auto" w:fill="FFFFFF"/>
        <w:spacing w:before="120" w:after="0" w:line="240" w:lineRule="auto"/>
        <w:ind w:left="150" w:right="150"/>
        <w:textAlignment w:val="baseline"/>
        <w:rPr>
          <w:rFonts w:ascii="inherit" w:eastAsia="Times New Roman" w:hAnsi="inherit" w:cs="Times New Roman"/>
          <w:color w:val="404040"/>
          <w:sz w:val="20"/>
          <w:szCs w:val="20"/>
        </w:rPr>
      </w:pPr>
      <w:r w:rsidRPr="00696A85">
        <w:rPr>
          <w:rFonts w:ascii="inherit" w:eastAsia="Times New Roman" w:hAnsi="inherit" w:cs="Times New Roman"/>
          <w:color w:val="404040"/>
          <w:sz w:val="20"/>
          <w:szCs w:val="20"/>
        </w:rPr>
        <w:t>In addition, there are two circumstances in which the IRB approval is not required but in which a researcher must make representations under HIPAA if they are doing work with PHI.</w:t>
      </w:r>
    </w:p>
    <w:p w:rsidR="00696A85" w:rsidRPr="00696A85" w:rsidRDefault="00696A85" w:rsidP="00696A85">
      <w:pPr>
        <w:numPr>
          <w:ilvl w:val="1"/>
          <w:numId w:val="2"/>
        </w:numPr>
        <w:shd w:val="clear" w:color="auto" w:fill="FFFFFF"/>
        <w:spacing w:before="120" w:after="0" w:line="240" w:lineRule="auto"/>
        <w:ind w:left="585" w:right="225"/>
        <w:textAlignment w:val="baseline"/>
        <w:rPr>
          <w:rFonts w:ascii="inherit" w:eastAsia="Times New Roman" w:hAnsi="inherit" w:cs="Times New Roman"/>
          <w:color w:val="404040"/>
          <w:sz w:val="20"/>
          <w:szCs w:val="20"/>
        </w:rPr>
      </w:pPr>
      <w:r w:rsidRPr="00696A85">
        <w:rPr>
          <w:rFonts w:ascii="inherit" w:eastAsia="Times New Roman" w:hAnsi="inherit" w:cs="Times New Roman"/>
          <w:color w:val="404040"/>
          <w:sz w:val="20"/>
          <w:szCs w:val="20"/>
        </w:rPr>
        <w:lastRenderedPageBreak/>
        <w:t>Research on decedents. You will be required to fill out a form and certify to the office that holds the data that you meet certain requirements.</w:t>
      </w:r>
    </w:p>
    <w:p w:rsidR="00696A85" w:rsidRPr="00696A85" w:rsidRDefault="00696A85" w:rsidP="00696A85">
      <w:pPr>
        <w:numPr>
          <w:ilvl w:val="1"/>
          <w:numId w:val="2"/>
        </w:numPr>
        <w:shd w:val="clear" w:color="auto" w:fill="FFFFFF"/>
        <w:spacing w:before="120" w:after="0" w:line="240" w:lineRule="auto"/>
        <w:ind w:left="585" w:right="225"/>
        <w:textAlignment w:val="baseline"/>
        <w:rPr>
          <w:rFonts w:ascii="inherit" w:eastAsia="Times New Roman" w:hAnsi="inherit" w:cs="Times New Roman"/>
          <w:color w:val="404040"/>
          <w:sz w:val="20"/>
          <w:szCs w:val="20"/>
        </w:rPr>
      </w:pPr>
      <w:r w:rsidRPr="00696A85">
        <w:rPr>
          <w:rFonts w:ascii="inherit" w:eastAsia="Times New Roman" w:hAnsi="inherit" w:cs="Times New Roman"/>
          <w:color w:val="404040"/>
          <w:sz w:val="20"/>
          <w:szCs w:val="20"/>
        </w:rPr>
        <w:t>Data review (medical records, film library, lab data, etc.) preparatory to designing a research protocol. You will be required to fill out a form and certify to the office that holds the data that you meet certain requirements.</w:t>
      </w:r>
    </w:p>
    <w:p w:rsidR="00696A85" w:rsidRPr="00696A85" w:rsidRDefault="00696A85" w:rsidP="00696A85">
      <w:pPr>
        <w:shd w:val="clear" w:color="auto" w:fill="FFFFFF"/>
        <w:spacing w:before="240" w:after="120" w:line="240" w:lineRule="auto"/>
        <w:textAlignment w:val="baseline"/>
        <w:outlineLvl w:val="2"/>
        <w:rPr>
          <w:rFonts w:ascii="inherit" w:eastAsia="Times New Roman" w:hAnsi="inherit" w:cs="Times New Roman"/>
          <w:b/>
          <w:bCs/>
          <w:color w:val="56A0D3"/>
          <w:sz w:val="20"/>
          <w:szCs w:val="20"/>
        </w:rPr>
      </w:pPr>
      <w:r w:rsidRPr="00696A85">
        <w:rPr>
          <w:rFonts w:ascii="inherit" w:eastAsia="Times New Roman" w:hAnsi="inherit" w:cs="Times New Roman"/>
          <w:b/>
          <w:bCs/>
          <w:color w:val="56A0D3"/>
          <w:sz w:val="20"/>
          <w:szCs w:val="20"/>
        </w:rPr>
        <w:t>Tracking Disclosures of PHI</w:t>
      </w:r>
    </w:p>
    <w:p w:rsidR="00696A85" w:rsidRPr="00696A85" w:rsidRDefault="00696A85" w:rsidP="00696A85">
      <w:pPr>
        <w:shd w:val="clear" w:color="auto" w:fill="FFFFFF"/>
        <w:spacing w:after="360" w:line="360" w:lineRule="atLeast"/>
        <w:textAlignment w:val="baseline"/>
        <w:rPr>
          <w:rFonts w:ascii="inherit" w:eastAsia="Times New Roman" w:hAnsi="inherit" w:cs="Times New Roman"/>
          <w:color w:val="404040"/>
          <w:sz w:val="20"/>
          <w:szCs w:val="20"/>
        </w:rPr>
      </w:pPr>
      <w:r w:rsidRPr="00696A85">
        <w:rPr>
          <w:rFonts w:ascii="inherit" w:eastAsia="Times New Roman" w:hAnsi="inherit" w:cs="Times New Roman"/>
          <w:color w:val="404040"/>
          <w:sz w:val="20"/>
          <w:szCs w:val="20"/>
        </w:rPr>
        <w:t>If PHI is disclosed to anyone outside your research team, or to someone who was not identified in the patient authorization, you must, unless some exception applies, keep a record of whom you shared the data with and for what purpose.</w:t>
      </w:r>
    </w:p>
    <w:p w:rsidR="00E4435F" w:rsidRDefault="00E4435F"/>
    <w:sectPr w:rsidR="00E44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703C7"/>
    <w:multiLevelType w:val="multilevel"/>
    <w:tmpl w:val="47F857D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D011D3"/>
    <w:multiLevelType w:val="multilevel"/>
    <w:tmpl w:val="154E98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85"/>
    <w:rsid w:val="00696A85"/>
    <w:rsid w:val="00E4435F"/>
    <w:rsid w:val="00FE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3DEE4-D196-4D5D-A390-1208F974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676779">
      <w:bodyDiv w:val="1"/>
      <w:marLeft w:val="0"/>
      <w:marRight w:val="0"/>
      <w:marTop w:val="0"/>
      <w:marBottom w:val="0"/>
      <w:divBdr>
        <w:top w:val="none" w:sz="0" w:space="0" w:color="auto"/>
        <w:left w:val="none" w:sz="0" w:space="0" w:color="auto"/>
        <w:bottom w:val="none" w:sz="0" w:space="0" w:color="auto"/>
        <w:right w:val="none" w:sz="0" w:space="0" w:color="auto"/>
      </w:divBdr>
    </w:div>
    <w:div w:id="1932817093">
      <w:bodyDiv w:val="1"/>
      <w:marLeft w:val="0"/>
      <w:marRight w:val="0"/>
      <w:marTop w:val="0"/>
      <w:marBottom w:val="0"/>
      <w:divBdr>
        <w:top w:val="none" w:sz="0" w:space="0" w:color="auto"/>
        <w:left w:val="none" w:sz="0" w:space="0" w:color="auto"/>
        <w:bottom w:val="none" w:sz="0" w:space="0" w:color="auto"/>
        <w:right w:val="none" w:sz="0" w:space="0" w:color="auto"/>
      </w:divBdr>
      <w:divsChild>
        <w:div w:id="822355340">
          <w:marLeft w:val="0"/>
          <w:marRight w:val="0"/>
          <w:marTop w:val="150"/>
          <w:marBottom w:val="0"/>
          <w:divBdr>
            <w:top w:val="none" w:sz="0" w:space="0" w:color="auto"/>
            <w:left w:val="none" w:sz="0" w:space="0" w:color="auto"/>
            <w:bottom w:val="none" w:sz="0" w:space="0" w:color="auto"/>
            <w:right w:val="none" w:sz="0" w:space="0" w:color="auto"/>
          </w:divBdr>
          <w:divsChild>
            <w:div w:id="65137061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earch.unc.edu/offices/human-research-ethics/getting-started/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Ames</dc:creator>
  <cp:keywords/>
  <dc:description/>
  <cp:lastModifiedBy>Cathrine Ames</cp:lastModifiedBy>
  <cp:revision>2</cp:revision>
  <dcterms:created xsi:type="dcterms:W3CDTF">2017-02-02T18:18:00Z</dcterms:created>
  <dcterms:modified xsi:type="dcterms:W3CDTF">2017-02-02T18:23:00Z</dcterms:modified>
</cp:coreProperties>
</file>